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0" w:rsidRPr="00490C30" w:rsidRDefault="00490C30" w:rsidP="0049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C3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40D52" w:rsidRDefault="00B40D52" w:rsidP="00B40D52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B40D52" w:rsidRPr="005160A1" w:rsidRDefault="00B40D52" w:rsidP="00B40D52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>закупівлі електричної енергії</w:t>
      </w:r>
      <w:r w:rsidRPr="00955A54">
        <w:rPr>
          <w:rFonts w:ascii="Times New Roman" w:hAnsi="Times New Roman"/>
          <w:b/>
          <w:sz w:val="20"/>
          <w:szCs w:val="20"/>
        </w:rPr>
        <w:t xml:space="preserve">,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B40D52" w:rsidRPr="002B4A84" w:rsidRDefault="00B40D52" w:rsidP="00B40D52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0"/>
          <w:szCs w:val="20"/>
        </w:rPr>
      </w:pPr>
      <w:r w:rsidRPr="002B4A84">
        <w:rPr>
          <w:rStyle w:val="a5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ЗАКЛАД КУЛЬТУРИ "ВІННИЦЬКА ЦЕНТРАЛІЗОВАНА КЛУБНА СИСТЕМА"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23219, Україна , Вінницька обл., Вінницький р-н, село Вінницькі Хутори, вул. Незалежності, будинок 33Б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>, к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од згі</w:t>
      </w:r>
      <w:r w:rsidR="00B827A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дно з ЄДРПОУ замовника: 33380979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Категорія-підприємства, установи, організації, зазначені у п.3 ч.1 ст.2 ЗУ "Про публічні закупівлі"</w:t>
      </w: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>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Електрична енергія 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09310000-5 «Електрична енергія»). 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відкриті торги, </w:t>
      </w:r>
      <w:r w:rsidR="00676EBF">
        <w:rPr>
          <w:rFonts w:ascii="Times New Roman" w:hAnsi="Times New Roman"/>
          <w:sz w:val="20"/>
          <w:szCs w:val="20"/>
        </w:rPr>
        <w:t>з</w:t>
      </w:r>
      <w:r w:rsidR="00676EBF" w:rsidRPr="00676EBF">
        <w:rPr>
          <w:rFonts w:ascii="Times New Roman" w:hAnsi="Times New Roman"/>
          <w:sz w:val="20"/>
          <w:szCs w:val="20"/>
        </w:rPr>
        <w:t xml:space="preserve">акупівля зареєстрована за ідентифікатором: </w:t>
      </w:r>
      <w:r w:rsidR="00B827A2">
        <w:t>UA-2022-12-06-018491-a</w:t>
      </w:r>
      <w:r>
        <w:rPr>
          <w:rFonts w:ascii="Times New Roman" w:hAnsi="Times New Roman"/>
          <w:sz w:val="20"/>
          <w:szCs w:val="20"/>
        </w:rPr>
        <w:t>.</w:t>
      </w:r>
    </w:p>
    <w:p w:rsidR="00676EBF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B827A2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467</w:t>
      </w:r>
      <w:r w:rsidR="00583168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500</w:t>
      </w:r>
      <w:r w:rsidR="00A027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,00</w:t>
      </w:r>
      <w:r w:rsidR="00676EB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грн</w:t>
      </w:r>
      <w:r w:rsidR="00676EBF" w:rsidRPr="00F358F7">
        <w:rPr>
          <w:rFonts w:ascii="Times New Roman" w:hAnsi="Times New Roman"/>
          <w:sz w:val="20"/>
          <w:szCs w:val="20"/>
        </w:rPr>
        <w:t xml:space="preserve"> </w:t>
      </w:r>
    </w:p>
    <w:p w:rsidR="00B40D52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аналізом</w:t>
      </w:r>
      <w:r w:rsidR="00A02797" w:rsidRPr="00A02797">
        <w:rPr>
          <w:rFonts w:ascii="Times New Roman" w:hAnsi="Times New Roman"/>
          <w:sz w:val="20"/>
          <w:szCs w:val="20"/>
        </w:rPr>
        <w:t xml:space="preserve"> річного</w:t>
      </w:r>
      <w:r w:rsidRPr="00F358F7">
        <w:rPr>
          <w:rFonts w:ascii="Times New Roman" w:hAnsi="Times New Roman"/>
          <w:sz w:val="20"/>
          <w:szCs w:val="20"/>
        </w:rPr>
        <w:t xml:space="preserve"> споживання  електричної енергії за </w:t>
      </w:r>
      <w:r w:rsidR="00676EBF">
        <w:rPr>
          <w:rFonts w:ascii="Times New Roman" w:hAnsi="Times New Roman"/>
          <w:sz w:val="20"/>
          <w:szCs w:val="20"/>
        </w:rPr>
        <w:t>відповідний період (</w:t>
      </w:r>
      <w:r w:rsidR="00A02797">
        <w:rPr>
          <w:rFonts w:ascii="Times New Roman" w:hAnsi="Times New Roman"/>
          <w:sz w:val="20"/>
          <w:szCs w:val="20"/>
        </w:rPr>
        <w:t>202</w:t>
      </w:r>
      <w:r w:rsidR="00583168">
        <w:rPr>
          <w:rFonts w:ascii="Times New Roman" w:hAnsi="Times New Roman"/>
          <w:sz w:val="20"/>
          <w:szCs w:val="20"/>
        </w:rPr>
        <w:t>2</w:t>
      </w:r>
      <w:r w:rsidR="00A02797">
        <w:rPr>
          <w:rFonts w:ascii="Times New Roman" w:hAnsi="Times New Roman"/>
          <w:sz w:val="20"/>
          <w:szCs w:val="20"/>
        </w:rPr>
        <w:t xml:space="preserve"> рік</w:t>
      </w:r>
      <w:r w:rsidR="00676EBF"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Замовником здійснено р</w:t>
      </w:r>
      <w:r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>
        <w:rPr>
          <w:rFonts w:ascii="Times New Roman" w:hAnsi="Times New Roman"/>
          <w:sz w:val="20"/>
          <w:szCs w:val="20"/>
        </w:rPr>
        <w:t>, яка затверджена н</w:t>
      </w:r>
      <w:r w:rsidRPr="000911C7">
        <w:rPr>
          <w:rFonts w:ascii="Times New Roman" w:hAnsi="Times New Roman"/>
          <w:sz w:val="20"/>
          <w:szCs w:val="20"/>
        </w:rPr>
        <w:t>аказ</w:t>
      </w:r>
      <w:r>
        <w:rPr>
          <w:rFonts w:ascii="Times New Roman" w:hAnsi="Times New Roman"/>
          <w:sz w:val="20"/>
          <w:szCs w:val="20"/>
        </w:rPr>
        <w:t>ом</w:t>
      </w:r>
      <w:r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Pr="000911C7">
        <w:rPr>
          <w:rFonts w:ascii="Times New Roman" w:hAnsi="Times New Roman"/>
          <w:sz w:val="20"/>
          <w:szCs w:val="20"/>
        </w:rPr>
        <w:t>№ 275</w:t>
      </w:r>
      <w:r>
        <w:rPr>
          <w:rFonts w:ascii="Times New Roman" w:hAnsi="Times New Roman"/>
          <w:sz w:val="20"/>
          <w:szCs w:val="20"/>
        </w:rPr>
        <w:t>.</w:t>
      </w:r>
    </w:p>
    <w:p w:rsidR="00B40D52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>
        <w:rPr>
          <w:rFonts w:ascii="Times New Roman" w:hAnsi="Times New Roman"/>
          <w:sz w:val="20"/>
          <w:szCs w:val="20"/>
        </w:rPr>
        <w:t xml:space="preserve"> з</w:t>
      </w:r>
      <w:r w:rsidRPr="00F358F7">
        <w:rPr>
          <w:rFonts w:ascii="Times New Roman" w:hAnsi="Times New Roman"/>
          <w:sz w:val="20"/>
          <w:szCs w:val="20"/>
        </w:rPr>
        <w:t xml:space="preserve"> аналіз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цін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</w:t>
      </w:r>
      <w:r>
        <w:rPr>
          <w:rFonts w:ascii="Times New Roman" w:hAnsi="Times New Roman"/>
          <w:sz w:val="20"/>
          <w:szCs w:val="20"/>
        </w:rPr>
        <w:t>о</w:t>
      </w:r>
      <w:r w:rsidRPr="00F358F7">
        <w:rPr>
          <w:rFonts w:ascii="Times New Roman" w:hAnsi="Times New Roman"/>
          <w:sz w:val="20"/>
          <w:szCs w:val="20"/>
        </w:rPr>
        <w:t>постачальників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електричну енергію на дату формування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закупівлі. До ціни електричної енергії включена вартість електричної енергії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закупованої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електропостачальником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</w:t>
      </w:r>
      <w:r>
        <w:rPr>
          <w:rFonts w:ascii="Times New Roman" w:hAnsi="Times New Roman"/>
          <w:sz w:val="20"/>
          <w:szCs w:val="20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з передачі електричної енергії, націнка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та всі визначені законодавством податки та збори.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F59AE" w:rsidRDefault="004F59AE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замовником прийнято рішення оголосити закупівлю </w:t>
      </w:r>
      <w:r w:rsidR="00B827A2">
        <w:rPr>
          <w:rFonts w:ascii="Times New Roman" w:hAnsi="Times New Roman"/>
          <w:sz w:val="20"/>
          <w:szCs w:val="20"/>
        </w:rPr>
        <w:t>електричної енергії обсягом 85</w:t>
      </w:r>
      <w:r>
        <w:rPr>
          <w:rFonts w:ascii="Times New Roman" w:hAnsi="Times New Roman"/>
          <w:sz w:val="20"/>
          <w:szCs w:val="20"/>
        </w:rPr>
        <w:t>000 кВт*год</w:t>
      </w:r>
      <w:r w:rsidRPr="004F59AE">
        <w:rPr>
          <w:rFonts w:ascii="Times New Roman" w:hAnsi="Times New Roman"/>
          <w:sz w:val="20"/>
          <w:szCs w:val="20"/>
        </w:rPr>
        <w:t xml:space="preserve"> по ціні </w:t>
      </w:r>
      <w:r>
        <w:rPr>
          <w:rFonts w:ascii="Times New Roman" w:hAnsi="Times New Roman"/>
          <w:sz w:val="20"/>
          <w:szCs w:val="20"/>
        </w:rPr>
        <w:t xml:space="preserve">5,50 </w:t>
      </w:r>
      <w:r w:rsidRPr="004F59AE">
        <w:rPr>
          <w:rFonts w:ascii="Times New Roman" w:hAnsi="Times New Roman"/>
          <w:sz w:val="20"/>
          <w:szCs w:val="20"/>
        </w:rPr>
        <w:t xml:space="preserve">грн. на суму </w:t>
      </w:r>
      <w:r w:rsidR="00B827A2">
        <w:rPr>
          <w:rFonts w:ascii="Times New Roman" w:hAnsi="Times New Roman"/>
          <w:sz w:val="20"/>
          <w:szCs w:val="20"/>
        </w:rPr>
        <w:t>467</w:t>
      </w:r>
      <w:r>
        <w:rPr>
          <w:rFonts w:ascii="Times New Roman" w:hAnsi="Times New Roman"/>
          <w:sz w:val="20"/>
          <w:szCs w:val="20"/>
        </w:rPr>
        <w:t> 500,00</w:t>
      </w:r>
      <w:r w:rsidRPr="004F59AE">
        <w:rPr>
          <w:rFonts w:ascii="Times New Roman" w:hAnsi="Times New Roman"/>
          <w:sz w:val="20"/>
          <w:szCs w:val="20"/>
        </w:rPr>
        <w:t xml:space="preserve"> грн. шляхом проведення відкритих торгів з особливостями, відповідно до постанови КМУ від 12 жовтня 2022р.№1178 "Про затвердження особливостей здійснення публічних </w:t>
      </w:r>
      <w:proofErr w:type="spellStart"/>
      <w:r w:rsidRPr="004F59AE">
        <w:rPr>
          <w:rFonts w:ascii="Times New Roman" w:hAnsi="Times New Roman"/>
          <w:sz w:val="20"/>
          <w:szCs w:val="20"/>
        </w:rPr>
        <w:t>закупівель</w:t>
      </w:r>
      <w:proofErr w:type="spellEnd"/>
      <w:r w:rsidRPr="004F59AE">
        <w:rPr>
          <w:rFonts w:ascii="Times New Roman" w:hAnsi="Times New Roman"/>
          <w:sz w:val="20"/>
          <w:szCs w:val="20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скасування".</w:t>
      </w:r>
    </w:p>
    <w:p w:rsidR="00B40D52" w:rsidRPr="00C728F9" w:rsidRDefault="00A02797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Закупівля проводиться на очікувану вартість, буде приведена у відповідність до р</w:t>
      </w:r>
      <w:r w:rsidR="00B40D52"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озмір</w:t>
      </w: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у</w:t>
      </w:r>
      <w:r w:rsidR="00B40D52"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бюджетного призначення</w:t>
      </w:r>
      <w:r w:rsidR="00676EB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на 202</w:t>
      </w:r>
      <w:r w:rsidR="00583168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3</w:t>
      </w: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рік</w:t>
      </w:r>
      <w:r w:rsidR="00B40D52"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Нормативно</w:t>
      </w:r>
      <w:r>
        <w:rPr>
          <w:rFonts w:ascii="Times New Roman" w:hAnsi="Times New Roman"/>
          <w:b/>
          <w:sz w:val="20"/>
          <w:szCs w:val="20"/>
        </w:rPr>
        <w:t>-</w:t>
      </w:r>
      <w:r w:rsidRPr="00F358F7">
        <w:rPr>
          <w:rFonts w:ascii="Times New Roman" w:hAnsi="Times New Roman"/>
          <w:b/>
          <w:sz w:val="20"/>
          <w:szCs w:val="20"/>
        </w:rPr>
        <w:t>правове регулювання</w:t>
      </w:r>
      <w:r w:rsidRPr="00955A54">
        <w:rPr>
          <w:rFonts w:ascii="Times New Roman" w:hAnsi="Times New Roman"/>
          <w:b/>
          <w:bCs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Закупівля електричної енергії, технічні та якісні характеристики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регулю</w:t>
      </w:r>
      <w:r>
        <w:rPr>
          <w:rFonts w:ascii="Times New Roman" w:hAnsi="Times New Roman"/>
          <w:sz w:val="20"/>
          <w:szCs w:val="20"/>
        </w:rPr>
        <w:t>ю</w:t>
      </w:r>
      <w:r w:rsidRPr="00F358F7">
        <w:rPr>
          <w:rFonts w:ascii="Times New Roman" w:hAnsi="Times New Roman"/>
          <w:sz w:val="20"/>
          <w:szCs w:val="20"/>
        </w:rPr>
        <w:t xml:space="preserve">ться та встановлюються Законом України «Про ринок електричної енергії»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Закон), Правилами роздрібного ринку електричної енергії, затверджен</w:t>
      </w:r>
      <w:r>
        <w:rPr>
          <w:rFonts w:ascii="Times New Roman" w:hAnsi="Times New Roman"/>
          <w:sz w:val="20"/>
          <w:szCs w:val="20"/>
        </w:rPr>
        <w:t>ими</w:t>
      </w:r>
      <w:r w:rsidRPr="00F358F7">
        <w:rPr>
          <w:rFonts w:ascii="Times New Roman" w:hAnsi="Times New Roman"/>
          <w:sz w:val="20"/>
          <w:szCs w:val="20"/>
        </w:rPr>
        <w:t xml:space="preserve"> постановою </w:t>
      </w:r>
      <w:r>
        <w:rPr>
          <w:rFonts w:ascii="Times New Roman" w:hAnsi="Times New Roman"/>
          <w:sz w:val="20"/>
          <w:szCs w:val="20"/>
        </w:rPr>
        <w:t xml:space="preserve">Національної комісії , що здійснює державне регулювання у сферах енергетики та комунальних послуг (далі — </w:t>
      </w:r>
      <w:r w:rsidRPr="00F358F7">
        <w:rPr>
          <w:rFonts w:ascii="Times New Roman" w:hAnsi="Times New Roman"/>
          <w:sz w:val="20"/>
          <w:szCs w:val="20"/>
        </w:rPr>
        <w:t>НКРЕКП</w:t>
      </w:r>
      <w:r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 від 14.03.2018 № 312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ПРРЕЕ), Закон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України «Про публічні закупівлі» від 25.12.2015 № 922-VIII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 </w:t>
      </w:r>
      <w:r>
        <w:rPr>
          <w:rFonts w:ascii="Times New Roman" w:hAnsi="Times New Roman"/>
          <w:sz w:val="20"/>
          <w:szCs w:val="20"/>
        </w:rPr>
        <w:t>про закупівлі</w:t>
      </w:r>
      <w:r w:rsidRPr="00F358F7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Кодексом системи розподілу, затверджени</w:t>
      </w:r>
      <w:r>
        <w:rPr>
          <w:rFonts w:ascii="Times New Roman" w:hAnsi="Times New Roman"/>
          <w:sz w:val="20"/>
          <w:szCs w:val="20"/>
        </w:rPr>
        <w:t>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Національної комісії регулювання електроенергетики та комунальних послуг України від 14.03.2018 № 310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КСР), Порядк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F358F7">
        <w:rPr>
          <w:rFonts w:ascii="Times New Roman" w:hAnsi="Times New Roman"/>
          <w:sz w:val="20"/>
          <w:szCs w:val="20"/>
        </w:rPr>
        <w:t>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hAnsi="Times New Roman"/>
          <w:sz w:val="20"/>
          <w:szCs w:val="20"/>
        </w:rPr>
        <w:t>им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НКРЕКП від 12.06.2018 № 375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Порядок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F358F7">
        <w:rPr>
          <w:rFonts w:ascii="Times New Roman" w:hAnsi="Times New Roman"/>
          <w:sz w:val="20"/>
          <w:szCs w:val="20"/>
        </w:rPr>
        <w:t>375)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та іншими нормативно</w:t>
      </w:r>
      <w:r>
        <w:rPr>
          <w:rFonts w:ascii="Times New Roman" w:hAnsi="Times New Roman"/>
          <w:sz w:val="20"/>
          <w:szCs w:val="20"/>
        </w:rPr>
        <w:t>-</w:t>
      </w:r>
      <w:r w:rsidRPr="00F358F7">
        <w:rPr>
          <w:rFonts w:ascii="Times New Roman" w:hAnsi="Times New Roman"/>
          <w:sz w:val="20"/>
          <w:szCs w:val="20"/>
        </w:rPr>
        <w:t>правовими актами</w:t>
      </w:r>
      <w:r>
        <w:rPr>
          <w:rFonts w:ascii="Times New Roman" w:hAnsi="Times New Roman"/>
          <w:sz w:val="20"/>
          <w:szCs w:val="20"/>
        </w:rPr>
        <w:t>,</w:t>
      </w:r>
      <w:r w:rsidRPr="00090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 стосуються предмета закупівлі</w:t>
      </w:r>
      <w:r w:rsidRPr="00C728F9">
        <w:rPr>
          <w:rFonts w:ascii="Times New Roman" w:hAnsi="Times New Roman"/>
          <w:sz w:val="20"/>
          <w:szCs w:val="20"/>
        </w:rPr>
        <w:t>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Style w:val="rvts0"/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Загальні положення.</w:t>
      </w:r>
      <w:r w:rsidRPr="00F358F7">
        <w:rPr>
          <w:rFonts w:ascii="Times New Roman" w:hAnsi="Times New Roman"/>
          <w:sz w:val="20"/>
          <w:szCs w:val="20"/>
        </w:rPr>
        <w:t xml:space="preserve"> Згідно </w:t>
      </w:r>
      <w:r>
        <w:rPr>
          <w:rFonts w:ascii="Times New Roman" w:hAnsi="Times New Roman"/>
          <w:sz w:val="20"/>
          <w:szCs w:val="20"/>
        </w:rPr>
        <w:t xml:space="preserve">з </w:t>
      </w:r>
      <w:r w:rsidRPr="00F358F7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унктом </w:t>
      </w:r>
      <w:r w:rsidRPr="00F358F7">
        <w:rPr>
          <w:rFonts w:ascii="Times New Roman" w:hAnsi="Times New Roman"/>
          <w:sz w:val="20"/>
          <w:szCs w:val="20"/>
        </w:rPr>
        <w:t>26 ст</w:t>
      </w:r>
      <w:r>
        <w:rPr>
          <w:rFonts w:ascii="Times New Roman" w:hAnsi="Times New Roman"/>
          <w:sz w:val="20"/>
          <w:szCs w:val="20"/>
        </w:rPr>
        <w:t xml:space="preserve">атті </w:t>
      </w:r>
      <w:r w:rsidRPr="00F358F7">
        <w:rPr>
          <w:rFonts w:ascii="Times New Roman" w:hAnsi="Times New Roman"/>
          <w:sz w:val="20"/>
          <w:szCs w:val="20"/>
        </w:rPr>
        <w:t xml:space="preserve">1 Закону 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електрична енергія </w:t>
      </w:r>
      <w:r>
        <w:rPr>
          <w:rStyle w:val="rvts0"/>
          <w:rFonts w:ascii="Times New Roman" w:hAnsi="Times New Roman"/>
          <w:sz w:val="20"/>
          <w:szCs w:val="20"/>
        </w:rPr>
        <w:t>—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 енергія, що виробляється на об’єктах електроенергетики і є товаром, призначеним для купівлі-продажу. Статтею 56 Закону визначено, що постачання електричної енергії споживачам здійснюється </w:t>
      </w:r>
      <w:proofErr w:type="spellStart"/>
      <w:r w:rsidRPr="00F358F7">
        <w:rPr>
          <w:rStyle w:val="rvts0"/>
          <w:rFonts w:ascii="Times New Roman" w:hAnsi="Times New Roman"/>
          <w:sz w:val="20"/>
          <w:szCs w:val="20"/>
        </w:rPr>
        <w:t>електропостачальниками</w:t>
      </w:r>
      <w:proofErr w:type="spellEnd"/>
      <w:r w:rsidRPr="00F358F7">
        <w:rPr>
          <w:rStyle w:val="rvts0"/>
          <w:rFonts w:ascii="Times New Roman" w:hAnsi="Times New Roman"/>
          <w:sz w:val="20"/>
          <w:szCs w:val="20"/>
        </w:rPr>
        <w:t>, які отримали відповідну ліцензію, за договором постачання електричної енергії споживачу.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lastRenderedPageBreak/>
        <w:t xml:space="preserve">Інформація про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повинна міститись </w:t>
      </w:r>
      <w:r>
        <w:rPr>
          <w:rFonts w:ascii="Times New Roman" w:hAnsi="Times New Roman"/>
          <w:sz w:val="20"/>
          <w:szCs w:val="20"/>
        </w:rPr>
        <w:t>у</w:t>
      </w:r>
      <w:r w:rsidRPr="00F358F7">
        <w:rPr>
          <w:rFonts w:ascii="Times New Roman" w:hAnsi="Times New Roman"/>
          <w:sz w:val="20"/>
          <w:szCs w:val="20"/>
        </w:rPr>
        <w:t xml:space="preserve">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F358F7">
        <w:rPr>
          <w:rFonts w:ascii="Times New Roman" w:hAnsi="Times New Roman"/>
          <w:sz w:val="20"/>
          <w:szCs w:val="20"/>
        </w:rPr>
        <w:t>вебсайті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НКРЕКП у розділі: </w:t>
      </w:r>
      <w:hyperlink r:id="rId6" w:history="1">
        <w:r w:rsidRPr="00F358F7">
          <w:rPr>
            <w:rStyle w:val="a6"/>
            <w:rFonts w:ascii="Times New Roman" w:hAnsi="Times New Roman"/>
            <w:sz w:val="20"/>
            <w:szCs w:val="20"/>
          </w:rPr>
          <w:t>Електрична енергія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7" w:history="1">
        <w:r w:rsidRPr="00F358F7">
          <w:rPr>
            <w:rStyle w:val="a6"/>
            <w:rFonts w:ascii="Times New Roman" w:hAnsi="Times New Roman"/>
            <w:sz w:val="20"/>
            <w:szCs w:val="20"/>
          </w:rPr>
          <w:t>Ліцензування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8" w:history="1">
        <w:r w:rsidRPr="00F358F7">
          <w:rPr>
            <w:rStyle w:val="a6"/>
            <w:rFonts w:ascii="Times New Roman" w:hAnsi="Times New Roman"/>
            <w:sz w:val="20"/>
            <w:szCs w:val="20"/>
          </w:rPr>
          <w:t>Реєстри ліцензіатів</w:t>
        </w:r>
      </w:hyperlink>
      <w:r w:rsidRPr="00F358F7">
        <w:rPr>
          <w:rFonts w:ascii="Times New Roman" w:hAnsi="Times New Roman"/>
          <w:sz w:val="20"/>
          <w:szCs w:val="20"/>
        </w:rPr>
        <w:t xml:space="preserve"> (вид діяльності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постачання електричної енергії). </w:t>
      </w:r>
    </w:p>
    <w:p w:rsidR="00B827A2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повинен забезпечити поставку електричної енергії на об’єкт</w:t>
      </w:r>
      <w:r w:rsidR="00B827A2">
        <w:rPr>
          <w:rFonts w:ascii="Times New Roman" w:hAnsi="Times New Roman"/>
          <w:sz w:val="20"/>
          <w:szCs w:val="20"/>
          <w:lang w:val="ru-RU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 w:rsidR="00676EBF">
        <w:rPr>
          <w:rFonts w:ascii="Times New Roman" w:hAnsi="Times New Roman"/>
          <w:sz w:val="20"/>
          <w:szCs w:val="20"/>
        </w:rPr>
        <w:t>амовника</w:t>
      </w:r>
      <w:r w:rsidRPr="00F358F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B827A2">
        <w:rPr>
          <w:rFonts w:ascii="Times New Roman" w:hAnsi="Times New Roman"/>
          <w:sz w:val="20"/>
          <w:szCs w:val="20"/>
          <w:lang w:val="ru-RU"/>
        </w:rPr>
        <w:t>що</w:t>
      </w:r>
      <w:proofErr w:type="spellEnd"/>
      <w:r w:rsidR="00B827A2">
        <w:rPr>
          <w:rFonts w:ascii="Times New Roman" w:hAnsi="Times New Roman"/>
          <w:sz w:val="20"/>
          <w:szCs w:val="20"/>
        </w:rPr>
        <w:t xml:space="preserve"> знаходиться за адресами</w:t>
      </w:r>
      <w:r w:rsidR="00B827A2">
        <w:rPr>
          <w:rFonts w:ascii="Times New Roman" w:hAnsi="Times New Roman"/>
          <w:sz w:val="20"/>
          <w:szCs w:val="20"/>
          <w:lang w:val="ru-RU"/>
        </w:rPr>
        <w:t>:</w:t>
      </w:r>
    </w:p>
    <w:p w:rsidR="00B827A2" w:rsidRPr="00F672D7" w:rsidRDefault="00B40D5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B827A2"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23202, Вінницька обл., Вінницький р-н, с. </w:t>
      </w:r>
      <w:proofErr w:type="spellStart"/>
      <w:r w:rsidR="00B827A2" w:rsidRPr="00F672D7">
        <w:rPr>
          <w:rFonts w:ascii="Times New Roman" w:eastAsia="Times New Roman" w:hAnsi="Times New Roman"/>
          <w:sz w:val="18"/>
          <w:szCs w:val="18"/>
          <w:lang w:eastAsia="ru-RU"/>
        </w:rPr>
        <w:t>Гавришівка</w:t>
      </w:r>
      <w:proofErr w:type="spellEnd"/>
      <w:r w:rsidR="00B827A2"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Гагаріна, 27;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23241, Вінницька обл., Вінницький р-н, с.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Стадниця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, вул. Д.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Франишина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2;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23243, Вінницька обл., Вінницький р-н, с. Великі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Крушлинці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Українська, 28А;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23242, Вінницька обл., Вінницький р-н, с. Малі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Крушлинці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Незалежності, 5;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23205, Вінницька обл., Вінницький р-н, с.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Писарівка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Покровська, 68/1;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23205, Вінницька обл., Вінницький р-н, с. Щітки, вул. Миру, 35/19;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23219, Вінницька обл., Вінницький р-н, с. Вінницькі Хутори, вул</w:t>
      </w:r>
      <w:r w:rsidRPr="00C93659">
        <w:rPr>
          <w:rFonts w:ascii="Times New Roman" w:hAnsi="Times New Roman"/>
          <w:i/>
          <w:color w:val="000000"/>
        </w:rPr>
        <w:t xml:space="preserve">. </w:t>
      </w: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Незалежності, 33Б,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21008, Вінницька обл., м. Вінниця, вул. Пирогова, 348;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21018, Вінницька обл., м. Вінниця, вул.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Черняховського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74.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358F7">
        <w:rPr>
          <w:rFonts w:ascii="Times New Roman" w:hAnsi="Times New Roman"/>
          <w:sz w:val="20"/>
          <w:szCs w:val="20"/>
        </w:rPr>
        <w:t>та підключен</w:t>
      </w:r>
      <w:r w:rsidR="00B827A2">
        <w:rPr>
          <w:rFonts w:ascii="Times New Roman" w:hAnsi="Times New Roman"/>
          <w:sz w:val="20"/>
          <w:szCs w:val="20"/>
        </w:rPr>
        <w:t>і</w:t>
      </w:r>
      <w:r w:rsidRPr="00F358F7">
        <w:rPr>
          <w:rFonts w:ascii="Times New Roman" w:hAnsi="Times New Roman"/>
          <w:sz w:val="20"/>
          <w:szCs w:val="20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</w:t>
      </w:r>
      <w:r>
        <w:rPr>
          <w:rFonts w:ascii="Times New Roman" w:hAnsi="Times New Roman"/>
          <w:sz w:val="20"/>
          <w:szCs w:val="20"/>
        </w:rPr>
        <w:t>чинного</w:t>
      </w:r>
      <w:r w:rsidRPr="00F358F7">
        <w:rPr>
          <w:rFonts w:ascii="Times New Roman" w:hAnsi="Times New Roman"/>
          <w:sz w:val="20"/>
          <w:szCs w:val="20"/>
        </w:rPr>
        <w:t xml:space="preserve">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B40D52" w:rsidRPr="00F358F7" w:rsidRDefault="00B40D52" w:rsidP="00B40D52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676EBF">
        <w:rPr>
          <w:rFonts w:ascii="Times New Roman" w:hAnsi="Times New Roman"/>
          <w:sz w:val="20"/>
          <w:szCs w:val="20"/>
        </w:rPr>
        <w:t xml:space="preserve"> з дати </w:t>
      </w:r>
      <w:r w:rsidR="00583168">
        <w:rPr>
          <w:rFonts w:ascii="Times New Roman" w:hAnsi="Times New Roman"/>
          <w:sz w:val="20"/>
          <w:szCs w:val="20"/>
        </w:rPr>
        <w:t>, обумовленої договором,</w:t>
      </w:r>
      <w:r>
        <w:rPr>
          <w:rFonts w:ascii="Times New Roman" w:hAnsi="Times New Roman"/>
          <w:sz w:val="20"/>
          <w:szCs w:val="20"/>
        </w:rPr>
        <w:t xml:space="preserve">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676EBF">
        <w:rPr>
          <w:rFonts w:ascii="Times New Roman" w:hAnsi="Times New Roman"/>
          <w:sz w:val="20"/>
          <w:szCs w:val="20"/>
        </w:rPr>
        <w:t xml:space="preserve">31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583168">
        <w:rPr>
          <w:rFonts w:ascii="Times New Roman" w:hAnsi="Times New Roman"/>
          <w:sz w:val="20"/>
          <w:szCs w:val="20"/>
        </w:rPr>
        <w:t>3</w:t>
      </w:r>
      <w:r w:rsidR="00676EBF"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необхідний для забезпечення діяльності та власних потреб об’єктів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 xml:space="preserve">амовника, та враховуючи обсяги споживання </w:t>
      </w:r>
      <w:r w:rsidR="00676EBF">
        <w:rPr>
          <w:rFonts w:ascii="Times New Roman" w:hAnsi="Times New Roman"/>
          <w:sz w:val="20"/>
          <w:szCs w:val="20"/>
        </w:rPr>
        <w:t>по</w:t>
      </w:r>
      <w:r w:rsidRPr="00F358F7">
        <w:rPr>
          <w:rFonts w:ascii="Times New Roman" w:hAnsi="Times New Roman"/>
          <w:sz w:val="20"/>
          <w:szCs w:val="20"/>
        </w:rPr>
        <w:t xml:space="preserve">переднього </w:t>
      </w:r>
      <w:r w:rsidR="00676EBF">
        <w:rPr>
          <w:rFonts w:ascii="Times New Roman" w:hAnsi="Times New Roman"/>
          <w:sz w:val="20"/>
          <w:szCs w:val="20"/>
        </w:rPr>
        <w:t>аналогічного періоду</w:t>
      </w:r>
      <w:r>
        <w:rPr>
          <w:rFonts w:ascii="Times New Roman" w:hAnsi="Times New Roman"/>
          <w:sz w:val="20"/>
          <w:szCs w:val="20"/>
        </w:rPr>
        <w:t>,</w:t>
      </w:r>
      <w:r w:rsidR="00676EBF">
        <w:rPr>
          <w:rFonts w:ascii="Times New Roman" w:hAnsi="Times New Roman"/>
          <w:sz w:val="20"/>
          <w:szCs w:val="20"/>
        </w:rPr>
        <w:t xml:space="preserve"> становить </w:t>
      </w:r>
      <w:r w:rsidR="00B827A2">
        <w:rPr>
          <w:rFonts w:ascii="Times New Roman" w:hAnsi="Times New Roman"/>
          <w:sz w:val="20"/>
          <w:szCs w:val="20"/>
        </w:rPr>
        <w:t>85</w:t>
      </w:r>
      <w:r w:rsidR="00A02797">
        <w:rPr>
          <w:rFonts w:ascii="Times New Roman" w:hAnsi="Times New Roman"/>
          <w:sz w:val="20"/>
          <w:szCs w:val="20"/>
        </w:rPr>
        <w:t>000</w:t>
      </w:r>
      <w:r w:rsidRPr="00F358F7">
        <w:rPr>
          <w:rFonts w:ascii="Times New Roman" w:hAnsi="Times New Roman"/>
          <w:sz w:val="20"/>
          <w:szCs w:val="20"/>
        </w:rPr>
        <w:t xml:space="preserve"> кВт.</w:t>
      </w:r>
      <w:r>
        <w:rPr>
          <w:rFonts w:ascii="Times New Roman" w:hAnsi="Times New Roman"/>
          <w:sz w:val="20"/>
          <w:szCs w:val="20"/>
        </w:rPr>
        <w:t xml:space="preserve"> </w:t>
      </w:r>
      <w:r w:rsidR="00676EBF">
        <w:rPr>
          <w:rFonts w:ascii="Times New Roman" w:hAnsi="Times New Roman"/>
          <w:sz w:val="20"/>
          <w:szCs w:val="20"/>
        </w:rPr>
        <w:t>год</w:t>
      </w:r>
      <w:r w:rsidRPr="00F358F7">
        <w:rPr>
          <w:rFonts w:ascii="Times New Roman" w:hAnsi="Times New Roman"/>
          <w:sz w:val="20"/>
          <w:szCs w:val="20"/>
        </w:rPr>
        <w:t>.</w:t>
      </w:r>
    </w:p>
    <w:p w:rsidR="00B40D52" w:rsidRPr="00F358F7" w:rsidRDefault="00B40D52" w:rsidP="00B40D52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73E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3E373E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 w:rsidRPr="00F358F7">
        <w:rPr>
          <w:rFonts w:ascii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1" w:name="w1_1"/>
      <w:r w:rsidRPr="00F358F7">
        <w:rPr>
          <w:rFonts w:ascii="Times New Roman" w:hAnsi="Times New Roman"/>
          <w:sz w:val="20"/>
          <w:szCs w:val="20"/>
        </w:rPr>
        <w:t>якість</w:t>
      </w:r>
      <w:bookmarkEnd w:id="1"/>
      <w:r w:rsidRPr="00F358F7">
        <w:rPr>
          <w:rFonts w:ascii="Times New Roman" w:hAnsi="Times New Roman"/>
          <w:sz w:val="20"/>
          <w:szCs w:val="20"/>
        </w:rPr>
        <w:t xml:space="preserve"> електропостачання </w:t>
      </w:r>
      <w:r>
        <w:rPr>
          <w:rFonts w:ascii="Times New Roman" w:hAnsi="Times New Roman"/>
          <w:sz w:val="20"/>
          <w:szCs w:val="20"/>
        </w:rPr>
        <w:t xml:space="preserve">— </w:t>
      </w:r>
      <w:r w:rsidRPr="00F358F7">
        <w:rPr>
          <w:rFonts w:ascii="Times New Roman" w:hAnsi="Times New Roman"/>
          <w:sz w:val="20"/>
          <w:szCs w:val="20"/>
        </w:rPr>
        <w:t xml:space="preserve"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w1_2"/>
      <w:r w:rsidRPr="00F358F7">
        <w:rPr>
          <w:rFonts w:ascii="Times New Roman" w:hAnsi="Times New Roman"/>
          <w:sz w:val="20"/>
          <w:szCs w:val="20"/>
        </w:rPr>
        <w:t>якість</w:t>
      </w:r>
      <w:bookmarkEnd w:id="2"/>
      <w:r w:rsidRPr="00F358F7">
        <w:rPr>
          <w:rFonts w:ascii="Times New Roman" w:hAnsi="Times New Roman"/>
          <w:sz w:val="20"/>
          <w:szCs w:val="20"/>
        </w:rPr>
        <w:t xml:space="preserve"> електричної енергії.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забезпечує дотримання загальних та гарантованих стандартів якості надання послуг з електропостачання,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тих, що передбачені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Порядк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375,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, ПРРЕЕ, КСР, умов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договору про постачання електричної енергії (договору про закупівлю) та інши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нормативно-правови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акт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ст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аттею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18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тосовно технічних, якісних характеристик предмета закупівлі передбачається необхідність застосування заходів із захисту довкілля,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під час виконання договору про закупівлю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.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зобов’язується дотримуватис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я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передбачених чинним законодавством вимог щодо застосування заходів із захисту довкілля.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і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з постачання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(замовнику),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що за належних умов забезпечать задоволення попиту на споживання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забезпечити комерційну якість послуг, які надаються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що передбачає вчасне та повне інформування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 (замовника)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про умови постачання електричної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лектропостачальником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та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ведення точних та прозорих розрахунків із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а також можливість вирішення спірних питань шляхом досудового врегулювання.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має право на отримання компенсації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остачальником. Постачальник зобов’язується надавати компенсацію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 у порядку, затвердженому Регулятором,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та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опублік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увати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на своєму офіційному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вебсайті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порядок надання компенсацій та їх розміри.</w:t>
      </w:r>
    </w:p>
    <w:p w:rsidR="001F7269" w:rsidRDefault="001F7269"/>
    <w:sectPr w:rsidR="001F7269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F71"/>
    <w:multiLevelType w:val="multilevel"/>
    <w:tmpl w:val="E84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5A65"/>
    <w:multiLevelType w:val="multilevel"/>
    <w:tmpl w:val="6206F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71D9"/>
    <w:multiLevelType w:val="multilevel"/>
    <w:tmpl w:val="B308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D08DF"/>
    <w:multiLevelType w:val="multilevel"/>
    <w:tmpl w:val="11D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0"/>
    <w:rsid w:val="00054BB8"/>
    <w:rsid w:val="000E2FBA"/>
    <w:rsid w:val="001E46A6"/>
    <w:rsid w:val="001F7269"/>
    <w:rsid w:val="00366F40"/>
    <w:rsid w:val="003D2477"/>
    <w:rsid w:val="00405373"/>
    <w:rsid w:val="00490C30"/>
    <w:rsid w:val="004F59AE"/>
    <w:rsid w:val="00583168"/>
    <w:rsid w:val="005C687D"/>
    <w:rsid w:val="00676EBF"/>
    <w:rsid w:val="007D170A"/>
    <w:rsid w:val="00A02797"/>
    <w:rsid w:val="00B40D52"/>
    <w:rsid w:val="00B827A2"/>
    <w:rsid w:val="00BB00CA"/>
    <w:rsid w:val="00CA5EE4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40D2"/>
  <w15:chartTrackingRefBased/>
  <w15:docId w15:val="{4F52176A-CC3D-402C-80FB-46E476A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C30"/>
    <w:rPr>
      <w:b/>
      <w:bCs/>
    </w:rPr>
  </w:style>
  <w:style w:type="character" w:styleId="a5">
    <w:name w:val="Emphasis"/>
    <w:basedOn w:val="a0"/>
    <w:uiPriority w:val="20"/>
    <w:qFormat/>
    <w:rsid w:val="00490C30"/>
    <w:rPr>
      <w:i/>
      <w:iCs/>
    </w:rPr>
  </w:style>
  <w:style w:type="character" w:customStyle="1" w:styleId="d2edcug0">
    <w:name w:val="d2edcug0"/>
    <w:basedOn w:val="a0"/>
    <w:rsid w:val="00490C30"/>
  </w:style>
  <w:style w:type="character" w:customStyle="1" w:styleId="h-select-all">
    <w:name w:val="h-select-all"/>
    <w:basedOn w:val="a0"/>
    <w:rsid w:val="003D2477"/>
  </w:style>
  <w:style w:type="character" w:customStyle="1" w:styleId="rvts0">
    <w:name w:val="rvts0"/>
    <w:basedOn w:val="a0"/>
    <w:rsid w:val="00B40D52"/>
  </w:style>
  <w:style w:type="character" w:styleId="a6">
    <w:name w:val="Hyperlink"/>
    <w:uiPriority w:val="99"/>
    <w:semiHidden/>
    <w:unhideWhenUsed/>
    <w:rsid w:val="00B4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gov.ua/?id=1607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erc.gov.ua/?id=159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rc.gov.ua/?id=1595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2012-C1C0-4ED6-8E3B-E6D316AB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5859</Words>
  <Characters>3341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Antonishen</dc:creator>
  <cp:keywords/>
  <dc:description/>
  <cp:lastModifiedBy>Ельвіра Гуменюк</cp:lastModifiedBy>
  <cp:revision>2</cp:revision>
  <dcterms:created xsi:type="dcterms:W3CDTF">2022-12-07T14:37:00Z</dcterms:created>
  <dcterms:modified xsi:type="dcterms:W3CDTF">2022-12-07T14:37:00Z</dcterms:modified>
</cp:coreProperties>
</file>